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AA830" w14:textId="77777777" w:rsidR="000D4E54" w:rsidRDefault="000D4E54" w:rsidP="000D4E54"/>
    <w:p w14:paraId="028323EA" w14:textId="77777777" w:rsidR="000D4E54" w:rsidRDefault="000D4E54" w:rsidP="000D4E54"/>
    <w:p w14:paraId="7C057FC0" w14:textId="77777777" w:rsidR="000D4E54" w:rsidRPr="006A0E0C" w:rsidRDefault="000D4E54" w:rsidP="000D4E54">
      <w:pPr>
        <w:rPr>
          <w:rFonts w:cstheme="minorHAnsi"/>
          <w:sz w:val="22"/>
          <w:szCs w:val="22"/>
        </w:rPr>
      </w:pPr>
      <w:r w:rsidRPr="006A0E0C">
        <w:rPr>
          <w:rFonts w:cstheme="minorHAnsi"/>
          <w:b/>
          <w:bCs/>
          <w:sz w:val="22"/>
          <w:szCs w:val="22"/>
        </w:rPr>
        <w:t>To:</w:t>
      </w:r>
      <w:r w:rsidRPr="006A0E0C">
        <w:rPr>
          <w:rFonts w:cstheme="minorHAnsi"/>
          <w:sz w:val="22"/>
          <w:szCs w:val="22"/>
        </w:rPr>
        <w:t xml:space="preserve"> Mr. </w:t>
      </w:r>
      <w:proofErr w:type="spellStart"/>
      <w:r w:rsidRPr="006A0E0C">
        <w:rPr>
          <w:rFonts w:cstheme="minorHAnsi"/>
          <w:sz w:val="22"/>
          <w:szCs w:val="22"/>
        </w:rPr>
        <w:t>Bonile</w:t>
      </w:r>
      <w:proofErr w:type="spellEnd"/>
      <w:r w:rsidRPr="006A0E0C">
        <w:rPr>
          <w:rFonts w:cstheme="minorHAnsi"/>
          <w:sz w:val="22"/>
          <w:szCs w:val="22"/>
        </w:rPr>
        <w:t xml:space="preserve"> Malila</w:t>
      </w:r>
      <w:r w:rsidRPr="006A0E0C">
        <w:rPr>
          <w:rFonts w:cstheme="minorHAnsi"/>
          <w:sz w:val="22"/>
          <w:szCs w:val="22"/>
        </w:rPr>
        <w:br/>
        <w:t>Chairperson: National Public Transport Regulator (NPTR)</w:t>
      </w:r>
      <w:r w:rsidRPr="006A0E0C">
        <w:rPr>
          <w:rFonts w:cstheme="minorHAnsi"/>
          <w:sz w:val="22"/>
          <w:szCs w:val="22"/>
        </w:rPr>
        <w:br/>
        <w:t>Department of Transport</w:t>
      </w:r>
      <w:r w:rsidRPr="006A0E0C">
        <w:rPr>
          <w:rFonts w:cstheme="minorHAnsi"/>
          <w:sz w:val="22"/>
          <w:szCs w:val="22"/>
        </w:rPr>
        <w:br/>
        <w:t>Pretoria, South Africa</w:t>
      </w:r>
    </w:p>
    <w:p w14:paraId="7A02EE59" w14:textId="77777777" w:rsidR="000D4E54" w:rsidRPr="006A0E0C" w:rsidRDefault="000D4E54" w:rsidP="000D4E54">
      <w:pPr>
        <w:rPr>
          <w:rFonts w:cstheme="minorHAnsi"/>
          <w:sz w:val="22"/>
          <w:szCs w:val="22"/>
        </w:rPr>
      </w:pPr>
    </w:p>
    <w:p w14:paraId="5D7EB801" w14:textId="77777777" w:rsidR="000D4E54" w:rsidRDefault="000D4E54" w:rsidP="000D4E54">
      <w:pPr>
        <w:rPr>
          <w:rFonts w:cstheme="minorHAnsi"/>
          <w:sz w:val="22"/>
          <w:szCs w:val="22"/>
        </w:rPr>
      </w:pPr>
      <w:r w:rsidRPr="006A0E0C">
        <w:rPr>
          <w:rFonts w:cstheme="minorHAnsi"/>
          <w:b/>
          <w:bCs/>
          <w:sz w:val="22"/>
          <w:szCs w:val="22"/>
        </w:rPr>
        <w:t>From:</w:t>
      </w:r>
      <w:r w:rsidRPr="001961BC">
        <w:rPr>
          <w:rFonts w:cstheme="minorHAnsi"/>
          <w:color w:val="EE0000"/>
          <w:sz w:val="22"/>
          <w:szCs w:val="22"/>
        </w:rPr>
        <w:t xml:space="preserve"> Insert Your Name / Title / Company Name</w:t>
      </w:r>
    </w:p>
    <w:p w14:paraId="6165D8F3" w14:textId="77777777" w:rsidR="000D4E54" w:rsidRDefault="000D4E54" w:rsidP="000D4E54">
      <w:pPr>
        <w:rPr>
          <w:rFonts w:cstheme="minorHAnsi"/>
          <w:sz w:val="22"/>
          <w:szCs w:val="22"/>
        </w:rPr>
      </w:pPr>
    </w:p>
    <w:p w14:paraId="1B40D346" w14:textId="77777777" w:rsidR="000D4E54" w:rsidRPr="006A0E0C" w:rsidRDefault="000D4E54" w:rsidP="000D4E54">
      <w:pPr>
        <w:rPr>
          <w:rFonts w:cstheme="minorHAnsi"/>
          <w:sz w:val="22"/>
          <w:szCs w:val="22"/>
        </w:rPr>
      </w:pPr>
      <w:r w:rsidRPr="006A0E0C">
        <w:rPr>
          <w:rFonts w:cstheme="minorHAnsi"/>
          <w:b/>
          <w:bCs/>
          <w:sz w:val="22"/>
          <w:szCs w:val="22"/>
        </w:rPr>
        <w:t>Date:</w:t>
      </w:r>
      <w:r w:rsidRPr="006A0E0C">
        <w:rPr>
          <w:rFonts w:cstheme="minorHAnsi"/>
          <w:sz w:val="22"/>
          <w:szCs w:val="22"/>
        </w:rPr>
        <w:t xml:space="preserve"> 1</w:t>
      </w:r>
      <w:r>
        <w:rPr>
          <w:rFonts w:cstheme="minorHAnsi"/>
          <w:sz w:val="22"/>
          <w:szCs w:val="22"/>
        </w:rPr>
        <w:t xml:space="preserve">8 </w:t>
      </w:r>
      <w:r w:rsidRPr="006A0E0C">
        <w:rPr>
          <w:rFonts w:cstheme="minorHAnsi"/>
          <w:sz w:val="22"/>
          <w:szCs w:val="22"/>
        </w:rPr>
        <w:t>November 2025</w:t>
      </w:r>
    </w:p>
    <w:p w14:paraId="20F5D49C" w14:textId="77777777" w:rsidR="000D4E54" w:rsidRPr="006A0E0C" w:rsidRDefault="000D4E54" w:rsidP="000D4E54">
      <w:pPr>
        <w:rPr>
          <w:rFonts w:cstheme="minorHAnsi"/>
          <w:sz w:val="22"/>
          <w:szCs w:val="22"/>
        </w:rPr>
      </w:pPr>
    </w:p>
    <w:p w14:paraId="11EA36A6" w14:textId="77777777" w:rsidR="000D4E54" w:rsidRPr="006A0E0C" w:rsidRDefault="000D4E54" w:rsidP="00BF64E3">
      <w:pPr>
        <w:jc w:val="both"/>
        <w:rPr>
          <w:rFonts w:cstheme="minorHAnsi"/>
          <w:b/>
          <w:bCs/>
          <w:caps/>
          <w:sz w:val="22"/>
          <w:szCs w:val="22"/>
        </w:rPr>
      </w:pPr>
      <w:r w:rsidRPr="006A0E0C">
        <w:rPr>
          <w:rFonts w:cstheme="minorHAnsi"/>
          <w:b/>
          <w:bCs/>
          <w:sz w:val="22"/>
          <w:szCs w:val="22"/>
        </w:rPr>
        <w:t xml:space="preserve">RE: </w:t>
      </w:r>
      <w:r w:rsidRPr="006A0E0C">
        <w:rPr>
          <w:rFonts w:cstheme="minorHAnsi"/>
          <w:b/>
          <w:bCs/>
          <w:caps/>
          <w:sz w:val="22"/>
          <w:szCs w:val="22"/>
        </w:rPr>
        <w:t>Inputs and Suggestions on the Streamlining of Accreditation and Operating Licence Processes for Tourist Transport Services</w:t>
      </w:r>
    </w:p>
    <w:p w14:paraId="613F26D7" w14:textId="77777777" w:rsidR="000D4E54" w:rsidRPr="006A0E0C" w:rsidRDefault="000D4E54" w:rsidP="00BF64E3">
      <w:pPr>
        <w:jc w:val="both"/>
        <w:rPr>
          <w:rFonts w:cstheme="minorHAnsi"/>
          <w:sz w:val="22"/>
          <w:szCs w:val="22"/>
        </w:rPr>
      </w:pPr>
    </w:p>
    <w:p w14:paraId="4EC1EA36" w14:textId="77777777" w:rsidR="000D4E54" w:rsidRPr="006A0E0C" w:rsidRDefault="000D4E54" w:rsidP="00BF64E3">
      <w:pPr>
        <w:jc w:val="both"/>
        <w:rPr>
          <w:rFonts w:cstheme="minorHAnsi"/>
          <w:sz w:val="22"/>
          <w:szCs w:val="22"/>
        </w:rPr>
      </w:pPr>
      <w:r w:rsidRPr="006A0E0C">
        <w:rPr>
          <w:rFonts w:cstheme="minorHAnsi"/>
          <w:sz w:val="22"/>
          <w:szCs w:val="22"/>
        </w:rPr>
        <w:t>Dear Mr. Malila,</w:t>
      </w:r>
    </w:p>
    <w:p w14:paraId="0042E6DF" w14:textId="77777777" w:rsidR="000D4E54" w:rsidRPr="006A0E0C" w:rsidRDefault="000D4E54" w:rsidP="00BF64E3">
      <w:pPr>
        <w:jc w:val="both"/>
        <w:rPr>
          <w:rFonts w:cstheme="minorHAnsi"/>
          <w:sz w:val="22"/>
          <w:szCs w:val="22"/>
        </w:rPr>
      </w:pPr>
    </w:p>
    <w:p w14:paraId="219FB6E8" w14:textId="77777777" w:rsidR="000D4E54" w:rsidRPr="006A0E0C" w:rsidRDefault="000D4E54" w:rsidP="00BF64E3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I am writing</w:t>
      </w:r>
      <w:r w:rsidRPr="006A0E0C">
        <w:rPr>
          <w:rFonts w:cstheme="minorHAnsi"/>
          <w:sz w:val="22"/>
          <w:szCs w:val="22"/>
        </w:rPr>
        <w:t xml:space="preserve"> in response to your letter dated 5 November 2025, inviting stakeholder input on the streamlining of accreditation and operating licence processes for tourist transport services.</w:t>
      </w:r>
    </w:p>
    <w:p w14:paraId="0738971C" w14:textId="77777777" w:rsidR="000D4E54" w:rsidRPr="006A0E0C" w:rsidRDefault="000D4E54" w:rsidP="00BF64E3">
      <w:pPr>
        <w:jc w:val="both"/>
        <w:rPr>
          <w:rFonts w:cstheme="minorHAnsi"/>
          <w:sz w:val="22"/>
          <w:szCs w:val="22"/>
        </w:rPr>
      </w:pPr>
    </w:p>
    <w:p w14:paraId="2109D135" w14:textId="77777777" w:rsidR="000D4E54" w:rsidRDefault="000D4E54" w:rsidP="00BF64E3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My input below is based on my experience as a tourist transport operator. </w:t>
      </w:r>
    </w:p>
    <w:p w14:paraId="10ABB566" w14:textId="77777777" w:rsidR="000D4E54" w:rsidRPr="001961BC" w:rsidRDefault="000D4E54" w:rsidP="00BF64E3">
      <w:pPr>
        <w:jc w:val="both"/>
        <w:rPr>
          <w:rFonts w:cstheme="minorHAnsi"/>
          <w:color w:val="EE0000"/>
          <w:sz w:val="22"/>
          <w:szCs w:val="22"/>
        </w:rPr>
      </w:pPr>
      <w:r w:rsidRPr="001961BC">
        <w:rPr>
          <w:rFonts w:cstheme="minorHAnsi"/>
          <w:color w:val="EE0000"/>
          <w:sz w:val="22"/>
          <w:szCs w:val="22"/>
        </w:rPr>
        <w:t>(Provide more background about your company/fleet/number of years in operation)</w:t>
      </w:r>
    </w:p>
    <w:p w14:paraId="265AC70C" w14:textId="77777777" w:rsidR="000D4E54" w:rsidRDefault="000D4E54" w:rsidP="00BF64E3">
      <w:pPr>
        <w:jc w:val="both"/>
        <w:rPr>
          <w:rFonts w:cstheme="minorHAnsi"/>
          <w:sz w:val="22"/>
          <w:szCs w:val="22"/>
        </w:rPr>
      </w:pPr>
    </w:p>
    <w:p w14:paraId="0392EBA8" w14:textId="189A7A39" w:rsidR="000D4E54" w:rsidRPr="006A0E0C" w:rsidRDefault="000D4E54" w:rsidP="00BF64E3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As background to my input, I think it is very important to</w:t>
      </w:r>
      <w:r w:rsidRPr="006A0E0C">
        <w:rPr>
          <w:rFonts w:cstheme="minorHAnsi"/>
          <w:sz w:val="22"/>
          <w:szCs w:val="22"/>
        </w:rPr>
        <w:t xml:space="preserve"> recognise the serious nature of the failings in the system to date, </w:t>
      </w:r>
      <w:r>
        <w:rPr>
          <w:rFonts w:cstheme="minorHAnsi"/>
          <w:sz w:val="22"/>
          <w:szCs w:val="22"/>
        </w:rPr>
        <w:t>in particular the severe delays and ongoing challenges in obtaining operating licenses from the NPTR. I feel strongly that these challenges need to be</w:t>
      </w:r>
      <w:r w:rsidRPr="006A0E0C">
        <w:rPr>
          <w:rFonts w:cstheme="minorHAnsi"/>
          <w:sz w:val="22"/>
          <w:szCs w:val="22"/>
        </w:rPr>
        <w:t xml:space="preserve"> rectified prior to further administrative constraints </w:t>
      </w:r>
      <w:r>
        <w:rPr>
          <w:rFonts w:cstheme="minorHAnsi"/>
          <w:sz w:val="22"/>
          <w:szCs w:val="22"/>
        </w:rPr>
        <w:t xml:space="preserve">or requirements </w:t>
      </w:r>
      <w:r w:rsidRPr="006A0E0C">
        <w:rPr>
          <w:rFonts w:cstheme="minorHAnsi"/>
          <w:sz w:val="22"/>
          <w:szCs w:val="22"/>
        </w:rPr>
        <w:t xml:space="preserve">being placed on </w:t>
      </w:r>
      <w:r>
        <w:rPr>
          <w:rFonts w:cstheme="minorHAnsi"/>
          <w:sz w:val="22"/>
          <w:szCs w:val="22"/>
        </w:rPr>
        <w:t xml:space="preserve">operators like </w:t>
      </w:r>
      <w:r w:rsidR="00BF64E3">
        <w:rPr>
          <w:rFonts w:cstheme="minorHAnsi"/>
          <w:sz w:val="22"/>
          <w:szCs w:val="22"/>
        </w:rPr>
        <w:t>me</w:t>
      </w:r>
      <w:r w:rsidRPr="006A0E0C">
        <w:rPr>
          <w:rFonts w:cstheme="minorHAnsi"/>
          <w:sz w:val="22"/>
          <w:szCs w:val="22"/>
        </w:rPr>
        <w:t>.</w:t>
      </w:r>
    </w:p>
    <w:p w14:paraId="36674CC5" w14:textId="77777777" w:rsidR="000D4E54" w:rsidRPr="006A0E0C" w:rsidRDefault="000D4E54" w:rsidP="00BF64E3">
      <w:pPr>
        <w:jc w:val="both"/>
        <w:rPr>
          <w:rFonts w:cstheme="minorHAnsi"/>
          <w:sz w:val="22"/>
          <w:szCs w:val="22"/>
        </w:rPr>
      </w:pPr>
    </w:p>
    <w:p w14:paraId="33F8F902" w14:textId="77777777" w:rsidR="000D4E54" w:rsidRPr="000D4E54" w:rsidRDefault="000D4E54" w:rsidP="00BF64E3">
      <w:pPr>
        <w:jc w:val="both"/>
        <w:rPr>
          <w:rFonts w:cstheme="minorHAnsi"/>
          <w:sz w:val="28"/>
          <w:szCs w:val="28"/>
        </w:rPr>
      </w:pPr>
      <w:r w:rsidRPr="000D4E54">
        <w:rPr>
          <w:rFonts w:cstheme="minorHAnsi"/>
          <w:b/>
          <w:bCs/>
          <w:sz w:val="28"/>
          <w:szCs w:val="28"/>
        </w:rPr>
        <w:t>Background and Observations</w:t>
      </w:r>
    </w:p>
    <w:p w14:paraId="71759A97" w14:textId="77777777" w:rsidR="000D4E54" w:rsidRPr="006A0E0C" w:rsidRDefault="000D4E54" w:rsidP="00BF64E3">
      <w:pPr>
        <w:jc w:val="both"/>
        <w:rPr>
          <w:rFonts w:cstheme="minorHAnsi"/>
          <w:sz w:val="22"/>
          <w:szCs w:val="22"/>
        </w:rPr>
      </w:pPr>
    </w:p>
    <w:p w14:paraId="47B87D07" w14:textId="77777777" w:rsidR="000D4E54" w:rsidRPr="006A0E0C" w:rsidRDefault="000D4E54" w:rsidP="00BF64E3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I</w:t>
      </w:r>
      <w:r w:rsidRPr="006A0E0C">
        <w:rPr>
          <w:rFonts w:cstheme="minorHAnsi"/>
          <w:sz w:val="22"/>
          <w:szCs w:val="22"/>
        </w:rPr>
        <w:t xml:space="preserve"> wish to place on record the following critical observations, which provide context for </w:t>
      </w:r>
      <w:r>
        <w:rPr>
          <w:rFonts w:cstheme="minorHAnsi"/>
          <w:sz w:val="22"/>
          <w:szCs w:val="22"/>
        </w:rPr>
        <w:t>my</w:t>
      </w:r>
      <w:r w:rsidRPr="006A0E0C">
        <w:rPr>
          <w:rFonts w:cstheme="minorHAnsi"/>
          <w:sz w:val="22"/>
          <w:szCs w:val="22"/>
        </w:rPr>
        <w:t xml:space="preserve"> recommendations:</w:t>
      </w:r>
    </w:p>
    <w:p w14:paraId="0BA15E39" w14:textId="77777777" w:rsidR="000D4E54" w:rsidRPr="006A0E0C" w:rsidRDefault="000D4E54" w:rsidP="00BF64E3">
      <w:pPr>
        <w:jc w:val="both"/>
        <w:rPr>
          <w:rFonts w:cstheme="minorHAnsi"/>
          <w:sz w:val="22"/>
          <w:szCs w:val="22"/>
        </w:rPr>
      </w:pPr>
    </w:p>
    <w:p w14:paraId="48A85AAB" w14:textId="77777777" w:rsidR="000D4E54" w:rsidRPr="00BF64E3" w:rsidRDefault="000D4E54" w:rsidP="00BF64E3">
      <w:pPr>
        <w:numPr>
          <w:ilvl w:val="0"/>
          <w:numId w:val="1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6A0E0C">
        <w:rPr>
          <w:rFonts w:cstheme="minorHAnsi"/>
          <w:sz w:val="22"/>
          <w:szCs w:val="22"/>
        </w:rPr>
        <w:t xml:space="preserve">The </w:t>
      </w:r>
      <w:r w:rsidRPr="006A0E0C">
        <w:rPr>
          <w:rFonts w:cstheme="minorHAnsi"/>
          <w:b/>
          <w:bCs/>
          <w:sz w:val="22"/>
          <w:szCs w:val="22"/>
        </w:rPr>
        <w:t>wording, interpretation, and implementation</w:t>
      </w:r>
      <w:r w:rsidRPr="006A0E0C">
        <w:rPr>
          <w:rFonts w:cstheme="minorHAnsi"/>
          <w:sz w:val="22"/>
          <w:szCs w:val="22"/>
        </w:rPr>
        <w:t xml:space="preserve"> of the National Land Transport Act (NLTA), Act 5 of 2009, as amended by Act 23 of 2023, and the associated regulations (2009 and subsequent amendments), by the NPTR, have </w:t>
      </w:r>
      <w:r w:rsidRPr="006A0E0C">
        <w:rPr>
          <w:rFonts w:cstheme="minorHAnsi"/>
          <w:b/>
          <w:bCs/>
          <w:sz w:val="22"/>
          <w:szCs w:val="22"/>
        </w:rPr>
        <w:t>deviated significantly from the original legislative intent</w:t>
      </w:r>
      <w:r w:rsidRPr="006A0E0C">
        <w:rPr>
          <w:rFonts w:cstheme="minorHAnsi"/>
          <w:sz w:val="22"/>
          <w:szCs w:val="22"/>
        </w:rPr>
        <w:t xml:space="preserve">. In </w:t>
      </w:r>
      <w:r>
        <w:rPr>
          <w:rFonts w:cstheme="minorHAnsi"/>
          <w:sz w:val="22"/>
          <w:szCs w:val="22"/>
        </w:rPr>
        <w:t>my</w:t>
      </w:r>
      <w:r w:rsidRPr="006A0E0C">
        <w:rPr>
          <w:rFonts w:cstheme="minorHAnsi"/>
          <w:sz w:val="22"/>
          <w:szCs w:val="22"/>
        </w:rPr>
        <w:t xml:space="preserve"> view, and </w:t>
      </w:r>
      <w:r>
        <w:rPr>
          <w:rFonts w:cstheme="minorHAnsi"/>
          <w:sz w:val="22"/>
          <w:szCs w:val="22"/>
        </w:rPr>
        <w:t>this was confirmed in a legal opinion obtained by the TBCSA</w:t>
      </w:r>
      <w:r w:rsidRPr="006A0E0C">
        <w:rPr>
          <w:rFonts w:cstheme="minorHAnsi"/>
          <w:sz w:val="22"/>
          <w:szCs w:val="22"/>
        </w:rPr>
        <w:t xml:space="preserve">, the current processes and standard operating procedures </w:t>
      </w:r>
      <w:r>
        <w:rPr>
          <w:rFonts w:cstheme="minorHAnsi"/>
          <w:sz w:val="22"/>
          <w:szCs w:val="22"/>
        </w:rPr>
        <w:t xml:space="preserve">at </w:t>
      </w:r>
      <w:r w:rsidRPr="00BF64E3">
        <w:rPr>
          <w:rFonts w:cstheme="minorHAnsi"/>
          <w:sz w:val="22"/>
          <w:szCs w:val="22"/>
        </w:rPr>
        <w:t xml:space="preserve">the NPTR are inconsistent with the provisions and intent of the legislation, and the NPTR’s failures have </w:t>
      </w:r>
      <w:r w:rsidRPr="00BF64E3">
        <w:rPr>
          <w:rFonts w:cstheme="minorHAnsi"/>
          <w:b/>
          <w:bCs/>
          <w:sz w:val="22"/>
          <w:szCs w:val="22"/>
        </w:rPr>
        <w:t>materially harmed and continue to harm my business as a tourist transport operator.</w:t>
      </w:r>
    </w:p>
    <w:p w14:paraId="7DAB212B" w14:textId="77777777" w:rsidR="000D4E54" w:rsidRPr="00BF64E3" w:rsidRDefault="000D4E54" w:rsidP="00BF64E3">
      <w:pPr>
        <w:jc w:val="both"/>
        <w:rPr>
          <w:rFonts w:cstheme="minorHAnsi"/>
          <w:sz w:val="22"/>
          <w:szCs w:val="22"/>
        </w:rPr>
      </w:pPr>
    </w:p>
    <w:p w14:paraId="292460AA" w14:textId="77777777" w:rsidR="000D4E54" w:rsidRPr="00BF64E3" w:rsidRDefault="000D4E54" w:rsidP="00BF64E3">
      <w:pPr>
        <w:numPr>
          <w:ilvl w:val="0"/>
          <w:numId w:val="1"/>
        </w:numPr>
        <w:spacing w:line="276" w:lineRule="auto"/>
        <w:jc w:val="both"/>
        <w:rPr>
          <w:rFonts w:cstheme="minorHAnsi"/>
          <w:color w:val="EE0000"/>
          <w:sz w:val="22"/>
          <w:szCs w:val="22"/>
        </w:rPr>
      </w:pPr>
      <w:r w:rsidRPr="00BF64E3">
        <w:rPr>
          <w:rFonts w:cstheme="minorHAnsi"/>
          <w:sz w:val="22"/>
          <w:szCs w:val="22"/>
        </w:rPr>
        <w:t xml:space="preserve">Since its inception, the NPTR has </w:t>
      </w:r>
      <w:r w:rsidRPr="00BF64E3">
        <w:rPr>
          <w:rFonts w:cstheme="minorHAnsi"/>
          <w:b/>
          <w:bCs/>
          <w:sz w:val="22"/>
          <w:szCs w:val="22"/>
        </w:rPr>
        <w:t>consistently failed to meet the turnaround times</w:t>
      </w:r>
      <w:r w:rsidRPr="00BF64E3">
        <w:rPr>
          <w:rFonts w:cstheme="minorHAnsi"/>
          <w:sz w:val="22"/>
          <w:szCs w:val="22"/>
        </w:rPr>
        <w:t xml:space="preserve"> stipulated in the legislation. Severe backlogs and operational inefficiencies have led to delays of many months and often several years. </w:t>
      </w:r>
      <w:r w:rsidRPr="00BF64E3">
        <w:rPr>
          <w:rFonts w:cstheme="minorHAnsi"/>
          <w:color w:val="EE0000"/>
          <w:sz w:val="22"/>
          <w:szCs w:val="22"/>
        </w:rPr>
        <w:t>In my own case, I waited/have been waiting for ___</w:t>
      </w:r>
      <w:proofErr w:type="gramStart"/>
      <w:r w:rsidRPr="00BF64E3">
        <w:rPr>
          <w:rFonts w:cstheme="minorHAnsi"/>
          <w:color w:val="EE0000"/>
          <w:sz w:val="22"/>
          <w:szCs w:val="22"/>
        </w:rPr>
        <w:t>_(</w:t>
      </w:r>
      <w:proofErr w:type="gramEnd"/>
      <w:r w:rsidRPr="00BF64E3">
        <w:rPr>
          <w:rFonts w:cstheme="minorHAnsi"/>
          <w:color w:val="EE0000"/>
          <w:sz w:val="22"/>
          <w:szCs w:val="22"/>
        </w:rPr>
        <w:t>insert your experience here)</w:t>
      </w:r>
    </w:p>
    <w:p w14:paraId="739D1EEA" w14:textId="77777777" w:rsidR="000D4E54" w:rsidRPr="00BF64E3" w:rsidRDefault="000D4E54" w:rsidP="00BF64E3">
      <w:pPr>
        <w:jc w:val="both"/>
        <w:rPr>
          <w:rFonts w:cstheme="minorHAnsi"/>
          <w:sz w:val="22"/>
          <w:szCs w:val="22"/>
        </w:rPr>
      </w:pPr>
    </w:p>
    <w:p w14:paraId="6DB7E9F2" w14:textId="01B8F307" w:rsidR="000D4E54" w:rsidRPr="006A0E0C" w:rsidRDefault="000D4E54" w:rsidP="00BF64E3">
      <w:pPr>
        <w:numPr>
          <w:ilvl w:val="0"/>
          <w:numId w:val="1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BF64E3">
        <w:rPr>
          <w:rFonts w:cstheme="minorHAnsi"/>
          <w:sz w:val="22"/>
          <w:szCs w:val="22"/>
        </w:rPr>
        <w:t xml:space="preserve">While we welcome the NPTR’s acknowledgement that “operations of tourist transport services are distinct from other service types” and that accredited </w:t>
      </w:r>
      <w:r w:rsidRPr="006A0E0C">
        <w:rPr>
          <w:rFonts w:cstheme="minorHAnsi"/>
          <w:sz w:val="22"/>
          <w:szCs w:val="22"/>
        </w:rPr>
        <w:t xml:space="preserve">operators should benefit from a “simple and expedited” licensing process, this principle has </w:t>
      </w:r>
      <w:r w:rsidRPr="006A0E0C">
        <w:rPr>
          <w:rFonts w:cstheme="minorHAnsi"/>
          <w:b/>
          <w:bCs/>
          <w:sz w:val="22"/>
          <w:szCs w:val="22"/>
        </w:rPr>
        <w:t>not been reflected in practice</w:t>
      </w:r>
      <w:r w:rsidRPr="006A0E0C">
        <w:rPr>
          <w:rFonts w:cstheme="minorHAnsi"/>
          <w:sz w:val="22"/>
          <w:szCs w:val="22"/>
        </w:rPr>
        <w:t xml:space="preserve">. On the contrary, the process has become increasingly </w:t>
      </w:r>
      <w:r w:rsidRPr="006A0E0C">
        <w:rPr>
          <w:rFonts w:cstheme="minorHAnsi"/>
          <w:b/>
          <w:bCs/>
          <w:sz w:val="22"/>
          <w:szCs w:val="22"/>
        </w:rPr>
        <w:lastRenderedPageBreak/>
        <w:t>burdensome</w:t>
      </w:r>
      <w:r w:rsidR="00BF64E3">
        <w:rPr>
          <w:rFonts w:cstheme="minorHAnsi"/>
          <w:b/>
          <w:bCs/>
          <w:sz w:val="22"/>
          <w:szCs w:val="22"/>
        </w:rPr>
        <w:t xml:space="preserve"> and </w:t>
      </w:r>
      <w:r w:rsidRPr="006A0E0C">
        <w:rPr>
          <w:rFonts w:cstheme="minorHAnsi"/>
          <w:b/>
          <w:bCs/>
          <w:sz w:val="22"/>
          <w:szCs w:val="22"/>
        </w:rPr>
        <w:t>duplicative</w:t>
      </w:r>
      <w:r w:rsidRPr="006A0E0C">
        <w:rPr>
          <w:rFonts w:cstheme="minorHAnsi"/>
          <w:sz w:val="22"/>
          <w:szCs w:val="22"/>
        </w:rPr>
        <w:t>, with ever-growing documentation requirements and frequent rejections on minor technicaliti</w:t>
      </w:r>
      <w:r w:rsidR="00BF64E3">
        <w:rPr>
          <w:rFonts w:cstheme="minorHAnsi"/>
          <w:sz w:val="22"/>
          <w:szCs w:val="22"/>
        </w:rPr>
        <w:t>es</w:t>
      </w:r>
      <w:r w:rsidRPr="006A0E0C">
        <w:rPr>
          <w:rFonts w:cstheme="minorHAnsi"/>
          <w:sz w:val="22"/>
          <w:szCs w:val="22"/>
        </w:rPr>
        <w:t xml:space="preserve">. </w:t>
      </w:r>
    </w:p>
    <w:p w14:paraId="4396DB54" w14:textId="77777777" w:rsidR="000D4E54" w:rsidRPr="006A0E0C" w:rsidRDefault="000D4E54" w:rsidP="00BF64E3">
      <w:pPr>
        <w:pStyle w:val="ListParagraph"/>
        <w:jc w:val="both"/>
        <w:rPr>
          <w:rFonts w:cstheme="minorHAnsi"/>
        </w:rPr>
      </w:pPr>
    </w:p>
    <w:p w14:paraId="0D690D72" w14:textId="77777777" w:rsidR="000D4E54" w:rsidRPr="006A0E0C" w:rsidRDefault="000D4E54" w:rsidP="00BF64E3">
      <w:pPr>
        <w:numPr>
          <w:ilvl w:val="0"/>
          <w:numId w:val="1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6A0E0C">
        <w:rPr>
          <w:rFonts w:cstheme="minorHAnsi"/>
          <w:sz w:val="22"/>
          <w:szCs w:val="22"/>
        </w:rPr>
        <w:t xml:space="preserve">Further to the </w:t>
      </w:r>
      <w:r w:rsidRPr="00BF64E3">
        <w:rPr>
          <w:rFonts w:cstheme="minorHAnsi"/>
          <w:sz w:val="22"/>
          <w:szCs w:val="22"/>
        </w:rPr>
        <w:t>burdensome administrative constraints and inefficiencies in the</w:t>
      </w:r>
      <w:r w:rsidRPr="006A0E0C">
        <w:rPr>
          <w:rFonts w:cstheme="minorHAnsi"/>
          <w:sz w:val="22"/>
          <w:szCs w:val="22"/>
        </w:rPr>
        <w:t xml:space="preserve"> NPTR operations, a </w:t>
      </w:r>
      <w:r w:rsidRPr="00BF64E3">
        <w:rPr>
          <w:rFonts w:cstheme="minorHAnsi"/>
          <w:b/>
          <w:bCs/>
          <w:sz w:val="22"/>
          <w:szCs w:val="22"/>
        </w:rPr>
        <w:t>lack of understanding of legislative requirements</w:t>
      </w:r>
      <w:r w:rsidRPr="006A0E0C">
        <w:rPr>
          <w:rFonts w:cstheme="minorHAnsi"/>
          <w:sz w:val="22"/>
          <w:szCs w:val="22"/>
        </w:rPr>
        <w:t xml:space="preserve">, (NLTA and other legislation), has resulted in processing officials not accepting certain documents, which meet the scope of legal requirement. In addition, the number of </w:t>
      </w:r>
      <w:r w:rsidRPr="00BF64E3">
        <w:rPr>
          <w:rFonts w:cstheme="minorHAnsi"/>
          <w:b/>
          <w:bCs/>
          <w:sz w:val="22"/>
          <w:szCs w:val="22"/>
        </w:rPr>
        <w:t>requests for resubmission of documents is significant</w:t>
      </w:r>
      <w:r>
        <w:rPr>
          <w:rFonts w:cstheme="minorHAnsi"/>
          <w:sz w:val="22"/>
          <w:szCs w:val="22"/>
        </w:rPr>
        <w:t>, and rejections on petty technicalities are very common</w:t>
      </w:r>
      <w:r w:rsidRPr="006A0E0C">
        <w:rPr>
          <w:rFonts w:cstheme="minorHAnsi"/>
          <w:sz w:val="22"/>
          <w:szCs w:val="22"/>
        </w:rPr>
        <w:t xml:space="preserve">. </w:t>
      </w:r>
    </w:p>
    <w:p w14:paraId="12357F6C" w14:textId="77777777" w:rsidR="000D4E54" w:rsidRPr="006A0E0C" w:rsidRDefault="000D4E54" w:rsidP="00BF64E3">
      <w:pPr>
        <w:jc w:val="both"/>
        <w:rPr>
          <w:rFonts w:cstheme="minorHAnsi"/>
          <w:sz w:val="22"/>
          <w:szCs w:val="22"/>
        </w:rPr>
      </w:pPr>
    </w:p>
    <w:p w14:paraId="2965FDC5" w14:textId="77777777" w:rsidR="000D4E54" w:rsidRPr="006A0E0C" w:rsidRDefault="000D4E54" w:rsidP="00BF64E3">
      <w:pPr>
        <w:numPr>
          <w:ilvl w:val="0"/>
          <w:numId w:val="1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6A0E0C">
        <w:rPr>
          <w:rFonts w:cstheme="minorHAnsi"/>
          <w:sz w:val="22"/>
          <w:szCs w:val="22"/>
        </w:rPr>
        <w:t xml:space="preserve">These systemic failures have caused </w:t>
      </w:r>
      <w:r w:rsidRPr="006A0E0C">
        <w:rPr>
          <w:rFonts w:cstheme="minorHAnsi"/>
          <w:b/>
          <w:bCs/>
          <w:sz w:val="22"/>
          <w:szCs w:val="22"/>
        </w:rPr>
        <w:t>significant economic and reputational damage</w:t>
      </w:r>
      <w:r w:rsidRPr="006A0E0C">
        <w:rPr>
          <w:rFonts w:cstheme="minorHAnsi"/>
          <w:sz w:val="22"/>
          <w:szCs w:val="22"/>
        </w:rPr>
        <w:t xml:space="preserve"> to </w:t>
      </w:r>
      <w:r>
        <w:rPr>
          <w:rFonts w:cstheme="minorHAnsi"/>
          <w:sz w:val="22"/>
          <w:szCs w:val="22"/>
        </w:rPr>
        <w:t xml:space="preserve">my business and to </w:t>
      </w:r>
      <w:r w:rsidRPr="006A0E0C">
        <w:rPr>
          <w:rFonts w:cstheme="minorHAnsi"/>
          <w:sz w:val="22"/>
          <w:szCs w:val="22"/>
        </w:rPr>
        <w:t xml:space="preserve">the </w:t>
      </w:r>
      <w:r>
        <w:rPr>
          <w:rFonts w:cstheme="minorHAnsi"/>
          <w:sz w:val="22"/>
          <w:szCs w:val="22"/>
        </w:rPr>
        <w:t xml:space="preserve">broader </w:t>
      </w:r>
      <w:r w:rsidRPr="006A0E0C">
        <w:rPr>
          <w:rFonts w:cstheme="minorHAnsi"/>
          <w:sz w:val="22"/>
          <w:szCs w:val="22"/>
        </w:rPr>
        <w:t>tourism industry, undermining South Africa’s competitiveness as a global destination and eroding trust in the regulatory framework.</w:t>
      </w:r>
    </w:p>
    <w:p w14:paraId="48C5367F" w14:textId="77777777" w:rsidR="000D4E54" w:rsidRPr="006A0E0C" w:rsidRDefault="000D4E54" w:rsidP="00BF64E3">
      <w:pPr>
        <w:jc w:val="both"/>
        <w:rPr>
          <w:rFonts w:cstheme="minorHAnsi"/>
          <w:sz w:val="22"/>
          <w:szCs w:val="22"/>
        </w:rPr>
      </w:pPr>
    </w:p>
    <w:p w14:paraId="50C88E5C" w14:textId="77777777" w:rsidR="000D4E54" w:rsidRPr="000D4E54" w:rsidRDefault="000D4E54" w:rsidP="00BF64E3">
      <w:pPr>
        <w:jc w:val="both"/>
        <w:rPr>
          <w:rFonts w:cstheme="minorHAnsi"/>
          <w:sz w:val="28"/>
          <w:szCs w:val="28"/>
        </w:rPr>
      </w:pPr>
      <w:r w:rsidRPr="000D4E54">
        <w:rPr>
          <w:rFonts w:cstheme="minorHAnsi"/>
          <w:b/>
          <w:bCs/>
          <w:sz w:val="28"/>
          <w:szCs w:val="28"/>
        </w:rPr>
        <w:t>Position on Legislative Enforcement</w:t>
      </w:r>
    </w:p>
    <w:p w14:paraId="390A52AA" w14:textId="77777777" w:rsidR="000D4E54" w:rsidRPr="006A0E0C" w:rsidRDefault="000D4E54" w:rsidP="00BF64E3">
      <w:pPr>
        <w:jc w:val="both"/>
        <w:rPr>
          <w:rFonts w:cstheme="minorHAnsi"/>
          <w:sz w:val="22"/>
          <w:szCs w:val="22"/>
        </w:rPr>
      </w:pPr>
    </w:p>
    <w:p w14:paraId="5C12052B" w14:textId="77777777" w:rsidR="000D4E54" w:rsidRPr="006A0E0C" w:rsidRDefault="000D4E54" w:rsidP="00BF64E3">
      <w:pPr>
        <w:jc w:val="both"/>
        <w:rPr>
          <w:rFonts w:cstheme="minorHAnsi"/>
          <w:sz w:val="22"/>
          <w:szCs w:val="22"/>
        </w:rPr>
      </w:pPr>
      <w:r w:rsidRPr="006A0E0C">
        <w:rPr>
          <w:rFonts w:cstheme="minorHAnsi"/>
          <w:sz w:val="22"/>
          <w:szCs w:val="22"/>
        </w:rPr>
        <w:t xml:space="preserve">Given the NPTR’s current track record, it is </w:t>
      </w:r>
      <w:r>
        <w:rPr>
          <w:rFonts w:cstheme="minorHAnsi"/>
          <w:sz w:val="22"/>
          <w:szCs w:val="22"/>
        </w:rPr>
        <w:t xml:space="preserve">my </w:t>
      </w:r>
      <w:r w:rsidRPr="006A0E0C">
        <w:rPr>
          <w:rFonts w:cstheme="minorHAnsi"/>
          <w:sz w:val="22"/>
          <w:szCs w:val="22"/>
        </w:rPr>
        <w:t xml:space="preserve">view that </w:t>
      </w:r>
      <w:r w:rsidRPr="006A0E0C">
        <w:rPr>
          <w:rFonts w:cstheme="minorHAnsi"/>
          <w:b/>
          <w:bCs/>
          <w:sz w:val="22"/>
          <w:szCs w:val="22"/>
        </w:rPr>
        <w:t>no further enforcement or expansion of legislative provisions</w:t>
      </w:r>
      <w:r w:rsidRPr="006A0E0C">
        <w:rPr>
          <w:rFonts w:cstheme="minorHAnsi"/>
          <w:sz w:val="22"/>
          <w:szCs w:val="22"/>
        </w:rPr>
        <w:t xml:space="preserve"> under the NLTA should be pursued until the regulator demonstrates a clear and consistent ability to implement the existing provisions </w:t>
      </w:r>
      <w:r w:rsidRPr="006A0E0C">
        <w:rPr>
          <w:rFonts w:cstheme="minorHAnsi"/>
          <w:b/>
          <w:bCs/>
          <w:sz w:val="22"/>
          <w:szCs w:val="22"/>
        </w:rPr>
        <w:t>efficiently, fairly, and in line with the Act’s original intent</w:t>
      </w:r>
      <w:r w:rsidRPr="006A0E0C">
        <w:rPr>
          <w:rFonts w:cstheme="minorHAnsi"/>
          <w:sz w:val="22"/>
          <w:szCs w:val="22"/>
        </w:rPr>
        <w:t>.</w:t>
      </w:r>
    </w:p>
    <w:p w14:paraId="3A5D326A" w14:textId="77777777" w:rsidR="000D4E54" w:rsidRPr="006A0E0C" w:rsidRDefault="000D4E54" w:rsidP="00BF64E3">
      <w:pPr>
        <w:jc w:val="both"/>
        <w:rPr>
          <w:rFonts w:cstheme="minorHAnsi"/>
          <w:sz w:val="22"/>
          <w:szCs w:val="22"/>
        </w:rPr>
      </w:pPr>
    </w:p>
    <w:p w14:paraId="2463E6A6" w14:textId="77777777" w:rsidR="000D4E54" w:rsidRPr="006A0E0C" w:rsidRDefault="000D4E54" w:rsidP="00BF64E3">
      <w:pPr>
        <w:jc w:val="both"/>
        <w:rPr>
          <w:rFonts w:cstheme="minorHAnsi"/>
          <w:sz w:val="22"/>
          <w:szCs w:val="22"/>
        </w:rPr>
      </w:pPr>
      <w:r w:rsidRPr="006A0E0C">
        <w:rPr>
          <w:rFonts w:cstheme="minorHAnsi"/>
          <w:sz w:val="22"/>
          <w:szCs w:val="22"/>
        </w:rPr>
        <w:t xml:space="preserve">Specifically, </w:t>
      </w:r>
      <w:r>
        <w:rPr>
          <w:rFonts w:cstheme="minorHAnsi"/>
          <w:sz w:val="22"/>
          <w:szCs w:val="22"/>
        </w:rPr>
        <w:t>I</w:t>
      </w:r>
      <w:r w:rsidRPr="006A0E0C">
        <w:rPr>
          <w:rFonts w:cstheme="minorHAnsi"/>
          <w:sz w:val="22"/>
          <w:szCs w:val="22"/>
        </w:rPr>
        <w:t xml:space="preserve"> urge the </w:t>
      </w:r>
      <w:r w:rsidRPr="006A0E0C">
        <w:rPr>
          <w:rFonts w:cstheme="minorHAnsi"/>
          <w:b/>
          <w:bCs/>
          <w:sz w:val="22"/>
          <w:szCs w:val="22"/>
        </w:rPr>
        <w:t>NPTR to prioritize internal reform</w:t>
      </w:r>
      <w:r w:rsidRPr="006A0E0C">
        <w:rPr>
          <w:rFonts w:cstheme="minorHAnsi"/>
          <w:sz w:val="22"/>
          <w:szCs w:val="22"/>
        </w:rPr>
        <w:t xml:space="preserve"> to meet the legislated turnaround times:</w:t>
      </w:r>
    </w:p>
    <w:p w14:paraId="2794357D" w14:textId="77777777" w:rsidR="000D4E54" w:rsidRPr="006A0E0C" w:rsidRDefault="000D4E54" w:rsidP="00BF64E3">
      <w:pPr>
        <w:numPr>
          <w:ilvl w:val="0"/>
          <w:numId w:val="2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6A0E0C">
        <w:rPr>
          <w:rFonts w:cstheme="minorHAnsi"/>
          <w:b/>
          <w:bCs/>
          <w:sz w:val="22"/>
          <w:szCs w:val="22"/>
        </w:rPr>
        <w:t>60 days</w:t>
      </w:r>
      <w:r w:rsidRPr="006A0E0C">
        <w:rPr>
          <w:rFonts w:cstheme="minorHAnsi"/>
          <w:sz w:val="22"/>
          <w:szCs w:val="22"/>
        </w:rPr>
        <w:t xml:space="preserve"> for accreditation and first-time operating licence applications</w:t>
      </w:r>
    </w:p>
    <w:p w14:paraId="7BD4C550" w14:textId="77777777" w:rsidR="000D4E54" w:rsidRPr="006A0E0C" w:rsidRDefault="000D4E54" w:rsidP="00BF64E3">
      <w:pPr>
        <w:numPr>
          <w:ilvl w:val="0"/>
          <w:numId w:val="2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6A0E0C">
        <w:rPr>
          <w:rFonts w:cstheme="minorHAnsi"/>
          <w:b/>
          <w:bCs/>
          <w:sz w:val="22"/>
          <w:szCs w:val="22"/>
        </w:rPr>
        <w:t>14 days</w:t>
      </w:r>
      <w:r w:rsidRPr="006A0E0C">
        <w:rPr>
          <w:rFonts w:cstheme="minorHAnsi"/>
          <w:sz w:val="22"/>
          <w:szCs w:val="22"/>
        </w:rPr>
        <w:t xml:space="preserve"> for any application by an accredited operator</w:t>
      </w:r>
    </w:p>
    <w:p w14:paraId="2CA28427" w14:textId="77777777" w:rsidR="000D4E54" w:rsidRPr="006A0E0C" w:rsidRDefault="000D4E54" w:rsidP="00BF64E3">
      <w:pPr>
        <w:jc w:val="both"/>
        <w:rPr>
          <w:rFonts w:cstheme="minorHAnsi"/>
          <w:sz w:val="22"/>
          <w:szCs w:val="22"/>
        </w:rPr>
      </w:pPr>
    </w:p>
    <w:p w14:paraId="71B489D5" w14:textId="77777777" w:rsidR="000D4E54" w:rsidRPr="006A0E0C" w:rsidRDefault="000D4E54" w:rsidP="00BF64E3">
      <w:pPr>
        <w:jc w:val="both"/>
        <w:rPr>
          <w:rFonts w:cstheme="minorHAnsi"/>
          <w:sz w:val="22"/>
          <w:szCs w:val="22"/>
        </w:rPr>
      </w:pPr>
      <w:r w:rsidRPr="006A0E0C">
        <w:rPr>
          <w:rFonts w:cstheme="minorHAnsi"/>
          <w:sz w:val="22"/>
          <w:szCs w:val="22"/>
        </w:rPr>
        <w:t xml:space="preserve">Until these benchmarks are reliably met, the introduction of additional requirements—however well-intentioned—will only exacerbate existing inefficiencies and </w:t>
      </w:r>
      <w:r w:rsidRPr="006A0E0C">
        <w:rPr>
          <w:rFonts w:cstheme="minorHAnsi"/>
          <w:b/>
          <w:bCs/>
          <w:sz w:val="22"/>
          <w:szCs w:val="22"/>
        </w:rPr>
        <w:t>deepen the crisis</w:t>
      </w:r>
      <w:r w:rsidRPr="006A0E0C">
        <w:rPr>
          <w:rFonts w:cstheme="minorHAnsi"/>
          <w:sz w:val="22"/>
          <w:szCs w:val="22"/>
        </w:rPr>
        <w:t xml:space="preserve"> facing </w:t>
      </w:r>
      <w:r>
        <w:rPr>
          <w:rFonts w:cstheme="minorHAnsi"/>
          <w:sz w:val="22"/>
          <w:szCs w:val="22"/>
        </w:rPr>
        <w:t xml:space="preserve">my company and </w:t>
      </w:r>
      <w:r w:rsidRPr="006A0E0C">
        <w:rPr>
          <w:rFonts w:cstheme="minorHAnsi"/>
          <w:sz w:val="22"/>
          <w:szCs w:val="22"/>
        </w:rPr>
        <w:t>the</w:t>
      </w:r>
      <w:r>
        <w:rPr>
          <w:rFonts w:cstheme="minorHAnsi"/>
          <w:sz w:val="22"/>
          <w:szCs w:val="22"/>
        </w:rPr>
        <w:t xml:space="preserve"> broader tourism transport</w:t>
      </w:r>
      <w:r w:rsidRPr="006A0E0C">
        <w:rPr>
          <w:rFonts w:cstheme="minorHAnsi"/>
          <w:sz w:val="22"/>
          <w:szCs w:val="22"/>
        </w:rPr>
        <w:t xml:space="preserve"> sector.</w:t>
      </w:r>
    </w:p>
    <w:p w14:paraId="36189D07" w14:textId="77777777" w:rsidR="000D4E54" w:rsidRPr="006A0E0C" w:rsidRDefault="000D4E54" w:rsidP="00BF64E3">
      <w:pPr>
        <w:jc w:val="both"/>
        <w:rPr>
          <w:rFonts w:cstheme="minorHAnsi"/>
          <w:sz w:val="22"/>
          <w:szCs w:val="22"/>
        </w:rPr>
      </w:pPr>
    </w:p>
    <w:p w14:paraId="694CD7B4" w14:textId="77777777" w:rsidR="000D4E54" w:rsidRPr="00E37CB2" w:rsidRDefault="000D4E54" w:rsidP="00BF64E3">
      <w:pPr>
        <w:jc w:val="both"/>
        <w:rPr>
          <w:rFonts w:cstheme="minorHAnsi"/>
          <w:sz w:val="28"/>
          <w:szCs w:val="28"/>
        </w:rPr>
      </w:pPr>
      <w:r w:rsidRPr="00E37CB2">
        <w:rPr>
          <w:rFonts w:cstheme="minorHAnsi"/>
          <w:b/>
          <w:bCs/>
          <w:sz w:val="28"/>
          <w:szCs w:val="28"/>
        </w:rPr>
        <w:t>Inputs on Specific Proposals Requested by the NPTR</w:t>
      </w:r>
    </w:p>
    <w:p w14:paraId="43FBFD24" w14:textId="77777777" w:rsidR="000D4E54" w:rsidRPr="006A0E0C" w:rsidRDefault="000D4E54" w:rsidP="00BF64E3">
      <w:pPr>
        <w:jc w:val="both"/>
        <w:rPr>
          <w:rFonts w:cstheme="minorHAnsi"/>
          <w:b/>
          <w:bCs/>
          <w:sz w:val="22"/>
          <w:szCs w:val="22"/>
        </w:rPr>
      </w:pPr>
    </w:p>
    <w:p w14:paraId="2CE4F416" w14:textId="77777777" w:rsidR="00BF64E3" w:rsidRDefault="000D4E54" w:rsidP="00BF64E3">
      <w:pPr>
        <w:jc w:val="both"/>
        <w:rPr>
          <w:rFonts w:cstheme="minorHAnsi"/>
          <w:b/>
          <w:bCs/>
          <w:sz w:val="22"/>
          <w:szCs w:val="22"/>
        </w:rPr>
      </w:pPr>
      <w:r w:rsidRPr="006A0E0C">
        <w:rPr>
          <w:rFonts w:cstheme="minorHAnsi"/>
          <w:b/>
          <w:bCs/>
          <w:sz w:val="22"/>
          <w:szCs w:val="22"/>
        </w:rPr>
        <w:t>5(i) – Proposed Timeline for Accreditation</w:t>
      </w:r>
    </w:p>
    <w:p w14:paraId="352B255F" w14:textId="6674BAB2" w:rsidR="000D4E54" w:rsidRPr="006A0E0C" w:rsidRDefault="000D4E54" w:rsidP="00BF64E3">
      <w:pPr>
        <w:jc w:val="both"/>
        <w:rPr>
          <w:rFonts w:cstheme="minorHAnsi"/>
          <w:sz w:val="22"/>
          <w:szCs w:val="22"/>
        </w:rPr>
      </w:pPr>
      <w:r w:rsidRPr="006A0E0C">
        <w:rPr>
          <w:rFonts w:cstheme="minorHAnsi"/>
          <w:sz w:val="22"/>
          <w:szCs w:val="22"/>
        </w:rPr>
        <w:t xml:space="preserve">We propose a timeline of </w:t>
      </w:r>
      <w:r w:rsidRPr="006A0E0C">
        <w:rPr>
          <w:rFonts w:cstheme="minorHAnsi"/>
          <w:b/>
          <w:bCs/>
          <w:sz w:val="22"/>
          <w:szCs w:val="22"/>
        </w:rPr>
        <w:t>90 days from any future date</w:t>
      </w:r>
      <w:r w:rsidRPr="006A0E0C">
        <w:rPr>
          <w:rFonts w:cstheme="minorHAnsi"/>
          <w:sz w:val="22"/>
          <w:szCs w:val="22"/>
        </w:rPr>
        <w:t xml:space="preserve"> when all accreditation applications can routinely be processed and completed within the legislated 60-day turnaround. Until the NPTR demonstrates consistent compliance with this standard for at least three consecutive months, </w:t>
      </w:r>
      <w:r w:rsidRPr="006A0E0C">
        <w:rPr>
          <w:rFonts w:cstheme="minorHAnsi"/>
          <w:b/>
          <w:bCs/>
          <w:sz w:val="22"/>
          <w:szCs w:val="22"/>
        </w:rPr>
        <w:t>no pressure should be placed on operators to comply</w:t>
      </w:r>
      <w:r w:rsidRPr="006A0E0C">
        <w:rPr>
          <w:rFonts w:cstheme="minorHAnsi"/>
          <w:sz w:val="22"/>
          <w:szCs w:val="22"/>
        </w:rPr>
        <w:t xml:space="preserve"> with mandatory accreditation timelines.</w:t>
      </w:r>
    </w:p>
    <w:p w14:paraId="53457870" w14:textId="77777777" w:rsidR="000D4E54" w:rsidRPr="006A0E0C" w:rsidRDefault="000D4E54" w:rsidP="00BF64E3">
      <w:pPr>
        <w:jc w:val="both"/>
        <w:rPr>
          <w:rFonts w:cstheme="minorHAnsi"/>
          <w:b/>
          <w:bCs/>
          <w:sz w:val="22"/>
          <w:szCs w:val="22"/>
        </w:rPr>
      </w:pPr>
    </w:p>
    <w:p w14:paraId="3BE4B833" w14:textId="77777777" w:rsidR="00BF64E3" w:rsidRDefault="000D4E54" w:rsidP="00BF64E3">
      <w:pPr>
        <w:jc w:val="both"/>
        <w:rPr>
          <w:rFonts w:cstheme="minorHAnsi"/>
          <w:b/>
          <w:bCs/>
          <w:sz w:val="22"/>
          <w:szCs w:val="22"/>
        </w:rPr>
      </w:pPr>
      <w:r w:rsidRPr="006A0E0C">
        <w:rPr>
          <w:rFonts w:cstheme="minorHAnsi"/>
          <w:b/>
          <w:bCs/>
          <w:sz w:val="22"/>
          <w:szCs w:val="22"/>
        </w:rPr>
        <w:t>5(ii) – Classes and Maximum Number of Vehicles per Operator</w:t>
      </w:r>
    </w:p>
    <w:p w14:paraId="2B2A531B" w14:textId="507B4BCD" w:rsidR="000D4E54" w:rsidRPr="006A0E0C" w:rsidRDefault="000D4E54" w:rsidP="00BF64E3">
      <w:pPr>
        <w:jc w:val="both"/>
        <w:rPr>
          <w:rFonts w:cstheme="minorHAnsi"/>
          <w:sz w:val="22"/>
          <w:szCs w:val="22"/>
        </w:rPr>
      </w:pPr>
      <w:r w:rsidRPr="006A0E0C">
        <w:rPr>
          <w:rFonts w:cstheme="minorHAnsi"/>
          <w:sz w:val="22"/>
          <w:szCs w:val="22"/>
        </w:rPr>
        <w:t xml:space="preserve">We strongly recommend that this clause be </w:t>
      </w:r>
      <w:r w:rsidRPr="006A0E0C">
        <w:rPr>
          <w:rFonts w:cstheme="minorHAnsi"/>
          <w:b/>
          <w:bCs/>
          <w:sz w:val="22"/>
          <w:szCs w:val="22"/>
        </w:rPr>
        <w:t>scrapped in a future amendment</w:t>
      </w:r>
      <w:r w:rsidRPr="006A0E0C">
        <w:rPr>
          <w:rFonts w:cstheme="minorHAnsi"/>
          <w:sz w:val="22"/>
          <w:szCs w:val="22"/>
        </w:rPr>
        <w:t xml:space="preserve">. The number and class of vehicles operated should remain a </w:t>
      </w:r>
      <w:r w:rsidRPr="006A0E0C">
        <w:rPr>
          <w:rFonts w:cstheme="minorHAnsi"/>
          <w:b/>
          <w:bCs/>
          <w:sz w:val="22"/>
          <w:szCs w:val="22"/>
        </w:rPr>
        <w:t>commercial decision</w:t>
      </w:r>
      <w:r w:rsidRPr="006A0E0C">
        <w:rPr>
          <w:rFonts w:cstheme="minorHAnsi"/>
          <w:sz w:val="22"/>
          <w:szCs w:val="22"/>
        </w:rPr>
        <w:t>, not a regulatory constraint. No other sectors—whether taxi operators, hoteliers, or retailers—are subject to such arbitrary limits.</w:t>
      </w:r>
    </w:p>
    <w:p w14:paraId="11C2F44D" w14:textId="77777777" w:rsidR="000D4E54" w:rsidRPr="006A0E0C" w:rsidRDefault="000D4E54" w:rsidP="00BF64E3">
      <w:pPr>
        <w:jc w:val="both"/>
        <w:rPr>
          <w:rFonts w:cstheme="minorHAnsi"/>
          <w:b/>
          <w:bCs/>
          <w:sz w:val="22"/>
          <w:szCs w:val="22"/>
        </w:rPr>
      </w:pPr>
    </w:p>
    <w:p w14:paraId="18EF046A" w14:textId="77777777" w:rsidR="00BF64E3" w:rsidRDefault="000D4E54" w:rsidP="00BF64E3">
      <w:pPr>
        <w:tabs>
          <w:tab w:val="num" w:pos="720"/>
        </w:tabs>
        <w:jc w:val="both"/>
        <w:rPr>
          <w:rFonts w:cstheme="minorHAnsi"/>
          <w:b/>
          <w:bCs/>
          <w:sz w:val="22"/>
          <w:szCs w:val="22"/>
        </w:rPr>
      </w:pPr>
      <w:r w:rsidRPr="006A0E0C">
        <w:rPr>
          <w:rFonts w:cstheme="minorHAnsi"/>
          <w:b/>
          <w:bCs/>
          <w:sz w:val="22"/>
          <w:szCs w:val="22"/>
        </w:rPr>
        <w:t>5(iii) – Recommendation Letters from Tourism Authoritie</w:t>
      </w:r>
      <w:r w:rsidR="00BF64E3">
        <w:rPr>
          <w:rFonts w:cstheme="minorHAnsi"/>
          <w:b/>
          <w:bCs/>
          <w:sz w:val="22"/>
          <w:szCs w:val="22"/>
        </w:rPr>
        <w:t>s</w:t>
      </w:r>
    </w:p>
    <w:p w14:paraId="7F22D801" w14:textId="24891839" w:rsidR="000D4E54" w:rsidRPr="006A0E0C" w:rsidRDefault="000D4E54" w:rsidP="00BF64E3">
      <w:pPr>
        <w:tabs>
          <w:tab w:val="num" w:pos="720"/>
        </w:tabs>
        <w:jc w:val="both"/>
        <w:rPr>
          <w:rFonts w:cstheme="minorHAnsi"/>
          <w:sz w:val="22"/>
          <w:szCs w:val="22"/>
        </w:rPr>
      </w:pPr>
      <w:r w:rsidRPr="006A0E0C">
        <w:rPr>
          <w:rFonts w:cstheme="minorHAnsi"/>
          <w:sz w:val="22"/>
          <w:szCs w:val="22"/>
        </w:rPr>
        <w:t xml:space="preserve">We propose that a </w:t>
      </w:r>
      <w:r w:rsidRPr="006A0E0C">
        <w:rPr>
          <w:rFonts w:cstheme="minorHAnsi"/>
          <w:b/>
          <w:bCs/>
          <w:sz w:val="22"/>
          <w:szCs w:val="22"/>
        </w:rPr>
        <w:t>single recommendation letter</w:t>
      </w:r>
      <w:r w:rsidRPr="006A0E0C">
        <w:rPr>
          <w:rFonts w:cstheme="minorHAnsi"/>
          <w:sz w:val="22"/>
          <w:szCs w:val="22"/>
        </w:rPr>
        <w:t xml:space="preserve"> from any one of the following membership-based industry associations be accepted; including but not limited to SATSA (Southern Africa Tourism Services Association), MISA, ASATA, </w:t>
      </w:r>
      <w:proofErr w:type="spellStart"/>
      <w:r w:rsidRPr="006A0E0C">
        <w:rPr>
          <w:rFonts w:cstheme="minorHAnsi"/>
          <w:sz w:val="22"/>
          <w:szCs w:val="22"/>
        </w:rPr>
        <w:t>GaTOA</w:t>
      </w:r>
      <w:proofErr w:type="spellEnd"/>
      <w:r w:rsidRPr="006A0E0C">
        <w:rPr>
          <w:rFonts w:cstheme="minorHAnsi"/>
          <w:sz w:val="22"/>
          <w:szCs w:val="22"/>
        </w:rPr>
        <w:t>, FGASA, and NFTGA.</w:t>
      </w:r>
    </w:p>
    <w:p w14:paraId="76C59ABE" w14:textId="77777777" w:rsidR="000D4E54" w:rsidRPr="006A0E0C" w:rsidRDefault="000D4E54" w:rsidP="00BF64E3">
      <w:pPr>
        <w:jc w:val="both"/>
        <w:rPr>
          <w:rFonts w:cstheme="minorHAnsi"/>
          <w:sz w:val="22"/>
          <w:szCs w:val="22"/>
        </w:rPr>
      </w:pPr>
    </w:p>
    <w:p w14:paraId="28370160" w14:textId="0A0A5E5A" w:rsidR="000D4E54" w:rsidRPr="006A0E0C" w:rsidRDefault="000D4E54" w:rsidP="00BF64E3">
      <w:pPr>
        <w:jc w:val="both"/>
        <w:rPr>
          <w:rFonts w:cstheme="minorHAnsi"/>
          <w:sz w:val="22"/>
          <w:szCs w:val="22"/>
        </w:rPr>
      </w:pPr>
      <w:r w:rsidRPr="006A0E0C">
        <w:rPr>
          <w:rFonts w:cstheme="minorHAnsi"/>
          <w:sz w:val="22"/>
          <w:szCs w:val="22"/>
        </w:rPr>
        <w:lastRenderedPageBreak/>
        <w:t xml:space="preserve">However, in line with </w:t>
      </w:r>
      <w:r w:rsidRPr="006A0E0C">
        <w:rPr>
          <w:rFonts w:cstheme="minorHAnsi"/>
          <w:b/>
          <w:bCs/>
          <w:sz w:val="22"/>
          <w:szCs w:val="22"/>
        </w:rPr>
        <w:t>Section 81(6)</w:t>
      </w:r>
      <w:r w:rsidRPr="006A0E0C">
        <w:rPr>
          <w:rFonts w:cstheme="minorHAnsi"/>
          <w:sz w:val="22"/>
          <w:szCs w:val="22"/>
        </w:rPr>
        <w:t xml:space="preserve"> of the NLTA, the </w:t>
      </w:r>
      <w:r w:rsidRPr="006A0E0C">
        <w:rPr>
          <w:rFonts w:cstheme="minorHAnsi"/>
          <w:b/>
          <w:bCs/>
          <w:sz w:val="22"/>
          <w:szCs w:val="22"/>
        </w:rPr>
        <w:t>absence of such a letter should not delay or invalidate an application</w:t>
      </w:r>
      <w:r w:rsidRPr="006A0E0C">
        <w:rPr>
          <w:rFonts w:cstheme="minorHAnsi"/>
          <w:sz w:val="22"/>
          <w:szCs w:val="22"/>
        </w:rPr>
        <w:t xml:space="preserve">. Furthermore, we propose that </w:t>
      </w:r>
      <w:r w:rsidRPr="006A0E0C">
        <w:rPr>
          <w:rFonts w:cstheme="minorHAnsi"/>
          <w:b/>
          <w:bCs/>
          <w:sz w:val="22"/>
          <w:szCs w:val="22"/>
        </w:rPr>
        <w:t>SATSA be formally empowered under Section 82(3)</w:t>
      </w:r>
      <w:r w:rsidRPr="006A0E0C">
        <w:rPr>
          <w:rFonts w:cstheme="minorHAnsi"/>
          <w:sz w:val="22"/>
          <w:szCs w:val="22"/>
        </w:rPr>
        <w:t xml:space="preserve"> to accredit tourist transport operators on behalf of the NPTR, using agreed-upon criteria. This would significantly reduce the regulator’s workload and improve turnaround times.</w:t>
      </w:r>
    </w:p>
    <w:p w14:paraId="613C81F6" w14:textId="77777777" w:rsidR="000D4E54" w:rsidRDefault="000D4E54" w:rsidP="00BF64E3">
      <w:pPr>
        <w:jc w:val="both"/>
        <w:rPr>
          <w:rFonts w:cstheme="minorHAnsi"/>
          <w:b/>
          <w:bCs/>
          <w:sz w:val="22"/>
          <w:szCs w:val="22"/>
        </w:rPr>
      </w:pPr>
    </w:p>
    <w:p w14:paraId="69529C25" w14:textId="77777777" w:rsidR="000D4E54" w:rsidRDefault="000D4E54" w:rsidP="00BF64E3">
      <w:pPr>
        <w:jc w:val="both"/>
        <w:rPr>
          <w:rFonts w:cstheme="minorHAnsi"/>
          <w:b/>
          <w:bCs/>
          <w:sz w:val="22"/>
          <w:szCs w:val="22"/>
        </w:rPr>
      </w:pPr>
    </w:p>
    <w:p w14:paraId="691306F5" w14:textId="77777777" w:rsidR="00BF64E3" w:rsidRDefault="000D4E54" w:rsidP="00BF64E3">
      <w:pPr>
        <w:jc w:val="both"/>
        <w:rPr>
          <w:rFonts w:cstheme="minorHAnsi"/>
          <w:b/>
          <w:bCs/>
          <w:sz w:val="22"/>
          <w:szCs w:val="22"/>
        </w:rPr>
      </w:pPr>
      <w:r w:rsidRPr="006A0E0C">
        <w:rPr>
          <w:rFonts w:cstheme="minorHAnsi"/>
          <w:b/>
          <w:bCs/>
          <w:sz w:val="22"/>
          <w:szCs w:val="22"/>
        </w:rPr>
        <w:t>5(iv) – Tests, Examinations, and Training Requirements</w:t>
      </w:r>
    </w:p>
    <w:p w14:paraId="213D3938" w14:textId="19FED40D" w:rsidR="000D4E54" w:rsidRPr="006A0E0C" w:rsidRDefault="000D4E54" w:rsidP="00BF64E3">
      <w:pPr>
        <w:jc w:val="both"/>
        <w:rPr>
          <w:rFonts w:cstheme="minorHAnsi"/>
          <w:sz w:val="22"/>
          <w:szCs w:val="22"/>
        </w:rPr>
      </w:pPr>
      <w:r w:rsidRPr="006A0E0C">
        <w:rPr>
          <w:rFonts w:cstheme="minorHAnsi"/>
          <w:sz w:val="22"/>
          <w:szCs w:val="22"/>
        </w:rPr>
        <w:t xml:space="preserve">This is already addressed in existing legislation. We propose that this clause be </w:t>
      </w:r>
      <w:r w:rsidRPr="006A0E0C">
        <w:rPr>
          <w:rFonts w:cstheme="minorHAnsi"/>
          <w:b/>
          <w:bCs/>
          <w:sz w:val="22"/>
          <w:szCs w:val="22"/>
        </w:rPr>
        <w:t>removed in a future amendment</w:t>
      </w:r>
      <w:r w:rsidRPr="006A0E0C">
        <w:rPr>
          <w:rFonts w:cstheme="minorHAnsi"/>
          <w:sz w:val="22"/>
          <w:szCs w:val="22"/>
        </w:rPr>
        <w:t>. No other transport sector faces such requirements, and the NPTR lacks the capacity and tourism-specific expertise to administer or evaluate such programmes. Existing requirements—such as roadworthy certification, valid driver’s licences, Professional Driving Permits, and tourist guide qualifications—already ensure passenger safety and service quality.</w:t>
      </w:r>
    </w:p>
    <w:p w14:paraId="44C8E3E6" w14:textId="77777777" w:rsidR="000D4E54" w:rsidRPr="006A0E0C" w:rsidRDefault="000D4E54" w:rsidP="00BF64E3">
      <w:pPr>
        <w:jc w:val="both"/>
        <w:rPr>
          <w:rFonts w:cstheme="minorHAnsi"/>
          <w:sz w:val="22"/>
          <w:szCs w:val="22"/>
        </w:rPr>
      </w:pPr>
    </w:p>
    <w:p w14:paraId="54BCEB86" w14:textId="77777777" w:rsidR="00BF64E3" w:rsidRDefault="000D4E54" w:rsidP="00BF64E3">
      <w:pPr>
        <w:jc w:val="both"/>
        <w:rPr>
          <w:rFonts w:cstheme="minorHAnsi"/>
          <w:b/>
          <w:bCs/>
          <w:sz w:val="22"/>
          <w:szCs w:val="22"/>
        </w:rPr>
      </w:pPr>
      <w:r w:rsidRPr="006A0E0C">
        <w:rPr>
          <w:rFonts w:cstheme="minorHAnsi"/>
          <w:b/>
          <w:bCs/>
          <w:sz w:val="22"/>
          <w:szCs w:val="22"/>
        </w:rPr>
        <w:t>5(v) – Vehicle Suitability for Tourist Transport</w:t>
      </w:r>
    </w:p>
    <w:p w14:paraId="69DBBE20" w14:textId="6EA45F33" w:rsidR="000D4E54" w:rsidRPr="006A0E0C" w:rsidRDefault="000D4E54" w:rsidP="00BF64E3">
      <w:pPr>
        <w:jc w:val="both"/>
        <w:rPr>
          <w:rFonts w:cstheme="minorHAnsi"/>
          <w:sz w:val="22"/>
          <w:szCs w:val="22"/>
        </w:rPr>
      </w:pPr>
      <w:r w:rsidRPr="006A0E0C">
        <w:rPr>
          <w:rFonts w:cstheme="minorHAnsi"/>
          <w:sz w:val="22"/>
          <w:szCs w:val="22"/>
        </w:rPr>
        <w:t xml:space="preserve">This is already addressed in existing legislation. Any vehicle </w:t>
      </w:r>
      <w:r w:rsidRPr="006A0E0C">
        <w:rPr>
          <w:rFonts w:cstheme="minorHAnsi"/>
          <w:b/>
          <w:bCs/>
          <w:sz w:val="22"/>
          <w:szCs w:val="22"/>
        </w:rPr>
        <w:t>licensed to carry passengers for reward and certified roadworthy</w:t>
      </w:r>
      <w:r w:rsidRPr="006A0E0C">
        <w:rPr>
          <w:rFonts w:cstheme="minorHAnsi"/>
          <w:sz w:val="22"/>
          <w:szCs w:val="22"/>
        </w:rPr>
        <w:t xml:space="preserve"> should be deemed suitable. The inclusion of this clause represents </w:t>
      </w:r>
      <w:r w:rsidRPr="006A0E0C">
        <w:rPr>
          <w:rFonts w:cstheme="minorHAnsi"/>
          <w:b/>
          <w:bCs/>
          <w:sz w:val="22"/>
          <w:szCs w:val="22"/>
        </w:rPr>
        <w:t>duplicative regulation</w:t>
      </w:r>
      <w:r w:rsidRPr="006A0E0C">
        <w:rPr>
          <w:rFonts w:cstheme="minorHAnsi"/>
          <w:sz w:val="22"/>
          <w:szCs w:val="22"/>
        </w:rPr>
        <w:t xml:space="preserve"> and should be removed in future amendments. Tourists routinely choose a wide range of transport modes—from quad bikes to bicycles—without additional licensing burdens.</w:t>
      </w:r>
    </w:p>
    <w:p w14:paraId="2E19CE15" w14:textId="77777777" w:rsidR="000D4E54" w:rsidRPr="006A0E0C" w:rsidRDefault="000D4E54" w:rsidP="00BF64E3">
      <w:pPr>
        <w:jc w:val="both"/>
        <w:rPr>
          <w:rFonts w:cstheme="minorHAnsi"/>
          <w:sz w:val="22"/>
          <w:szCs w:val="22"/>
        </w:rPr>
      </w:pPr>
    </w:p>
    <w:p w14:paraId="2F03CA28" w14:textId="77777777" w:rsidR="000D4E54" w:rsidRPr="000D4E54" w:rsidRDefault="000D4E54" w:rsidP="00BF64E3">
      <w:pPr>
        <w:jc w:val="both"/>
        <w:rPr>
          <w:rFonts w:cstheme="minorHAnsi"/>
          <w:sz w:val="28"/>
          <w:szCs w:val="28"/>
        </w:rPr>
      </w:pPr>
      <w:r w:rsidRPr="000D4E54">
        <w:rPr>
          <w:rFonts w:cstheme="minorHAnsi"/>
          <w:b/>
          <w:bCs/>
          <w:sz w:val="28"/>
          <w:szCs w:val="28"/>
        </w:rPr>
        <w:t>Conclusion and Call to Action</w:t>
      </w:r>
    </w:p>
    <w:p w14:paraId="3F6F21CB" w14:textId="77777777" w:rsidR="000D4E54" w:rsidRPr="006A0E0C" w:rsidRDefault="000D4E54" w:rsidP="00BF64E3">
      <w:pPr>
        <w:jc w:val="both"/>
        <w:rPr>
          <w:rFonts w:cstheme="minorHAnsi"/>
          <w:sz w:val="22"/>
          <w:szCs w:val="22"/>
        </w:rPr>
      </w:pPr>
    </w:p>
    <w:p w14:paraId="25704A9B" w14:textId="77777777" w:rsidR="000D4E54" w:rsidRPr="006A0E0C" w:rsidRDefault="000D4E54" w:rsidP="00BF64E3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My</w:t>
      </w:r>
      <w:r w:rsidRPr="006A0E0C">
        <w:rPr>
          <w:rFonts w:cstheme="minorHAnsi"/>
          <w:sz w:val="22"/>
          <w:szCs w:val="22"/>
        </w:rPr>
        <w:t xml:space="preserve"> appeal to the NPTR is to </w:t>
      </w:r>
      <w:r w:rsidRPr="006A0E0C">
        <w:rPr>
          <w:rFonts w:cstheme="minorHAnsi"/>
          <w:b/>
          <w:bCs/>
          <w:sz w:val="22"/>
          <w:szCs w:val="22"/>
        </w:rPr>
        <w:t>prioritise efficiency, simplicity, and improved turnaround times</w:t>
      </w:r>
      <w:r w:rsidRPr="006A0E0C">
        <w:rPr>
          <w:rFonts w:cstheme="minorHAnsi"/>
          <w:sz w:val="22"/>
          <w:szCs w:val="22"/>
        </w:rPr>
        <w:t xml:space="preserve"> before implementing any new or additional provisions. In the long term, we urge the NPTR to work collaboratively with the tourism industry to </w:t>
      </w:r>
      <w:r w:rsidRPr="006A0E0C">
        <w:rPr>
          <w:rFonts w:cstheme="minorHAnsi"/>
          <w:b/>
          <w:bCs/>
          <w:sz w:val="22"/>
          <w:szCs w:val="22"/>
        </w:rPr>
        <w:t>redesign and simplify the regulatory framework</w:t>
      </w:r>
      <w:r w:rsidRPr="006A0E0C">
        <w:rPr>
          <w:rFonts w:cstheme="minorHAnsi"/>
          <w:sz w:val="22"/>
          <w:szCs w:val="22"/>
        </w:rPr>
        <w:t>, ensuring it is fit for purpose and aligned with the realities of a dynamic, service-oriented sector.</w:t>
      </w:r>
    </w:p>
    <w:p w14:paraId="5FEAD853" w14:textId="77777777" w:rsidR="000D4E54" w:rsidRPr="006A0E0C" w:rsidRDefault="000D4E54" w:rsidP="00BF64E3">
      <w:pPr>
        <w:jc w:val="both"/>
        <w:rPr>
          <w:rFonts w:cstheme="minorHAnsi"/>
          <w:sz w:val="22"/>
          <w:szCs w:val="22"/>
        </w:rPr>
      </w:pPr>
    </w:p>
    <w:p w14:paraId="4F79D4F3" w14:textId="77777777" w:rsidR="000D4E54" w:rsidRPr="006A0E0C" w:rsidRDefault="000D4E54" w:rsidP="00BF64E3">
      <w:pPr>
        <w:jc w:val="both"/>
        <w:rPr>
          <w:rFonts w:cstheme="minorHAnsi"/>
          <w:sz w:val="22"/>
          <w:szCs w:val="22"/>
        </w:rPr>
      </w:pPr>
      <w:r w:rsidRPr="006A0E0C">
        <w:rPr>
          <w:rFonts w:cstheme="minorHAnsi"/>
          <w:sz w:val="22"/>
          <w:szCs w:val="22"/>
        </w:rPr>
        <w:t xml:space="preserve">We thank you sincerely for requesting and considering our input. </w:t>
      </w:r>
      <w:r>
        <w:rPr>
          <w:rFonts w:cstheme="minorHAnsi"/>
          <w:sz w:val="22"/>
          <w:szCs w:val="22"/>
        </w:rPr>
        <w:t>I</w:t>
      </w:r>
      <w:r w:rsidRPr="006A0E0C">
        <w:rPr>
          <w:rFonts w:cstheme="minorHAnsi"/>
          <w:sz w:val="22"/>
          <w:szCs w:val="22"/>
        </w:rPr>
        <w:t xml:space="preserve"> trust that </w:t>
      </w:r>
      <w:r>
        <w:rPr>
          <w:rFonts w:cstheme="minorHAnsi"/>
          <w:sz w:val="22"/>
          <w:szCs w:val="22"/>
        </w:rPr>
        <w:t>my</w:t>
      </w:r>
      <w:r w:rsidRPr="006A0E0C">
        <w:rPr>
          <w:rFonts w:cstheme="minorHAnsi"/>
          <w:sz w:val="22"/>
          <w:szCs w:val="22"/>
        </w:rPr>
        <w:t xml:space="preserve"> submission will be taken to heart and lead to meaningful reform.</w:t>
      </w:r>
    </w:p>
    <w:p w14:paraId="0FEB3E3B" w14:textId="77777777" w:rsidR="000D4E54" w:rsidRPr="006A0E0C" w:rsidRDefault="000D4E54" w:rsidP="00BF64E3">
      <w:pPr>
        <w:jc w:val="both"/>
        <w:rPr>
          <w:rFonts w:cstheme="minorHAnsi"/>
          <w:sz w:val="22"/>
          <w:szCs w:val="22"/>
        </w:rPr>
      </w:pPr>
    </w:p>
    <w:p w14:paraId="1A3539A6" w14:textId="77777777" w:rsidR="00BF64E3" w:rsidRDefault="000D4E54" w:rsidP="00BF64E3">
      <w:pPr>
        <w:jc w:val="both"/>
        <w:rPr>
          <w:rFonts w:cstheme="minorHAnsi"/>
          <w:sz w:val="22"/>
          <w:szCs w:val="22"/>
        </w:rPr>
      </w:pPr>
      <w:r w:rsidRPr="006A0E0C">
        <w:rPr>
          <w:rFonts w:cstheme="minorHAnsi"/>
          <w:sz w:val="22"/>
          <w:szCs w:val="22"/>
        </w:rPr>
        <w:t>Yours sincerely,</w:t>
      </w:r>
    </w:p>
    <w:p w14:paraId="4EBF09A4" w14:textId="06F156CC" w:rsidR="000D4E54" w:rsidRPr="006A0E0C" w:rsidRDefault="000D4E54" w:rsidP="00BF64E3">
      <w:pPr>
        <w:jc w:val="both"/>
        <w:rPr>
          <w:rFonts w:cstheme="minorHAnsi"/>
          <w:sz w:val="22"/>
          <w:szCs w:val="22"/>
        </w:rPr>
      </w:pPr>
    </w:p>
    <w:p w14:paraId="11E1B8DD" w14:textId="77777777" w:rsidR="000D4E54" w:rsidRPr="006A0E0C" w:rsidRDefault="000D4E54" w:rsidP="00BF64E3">
      <w:pPr>
        <w:jc w:val="both"/>
        <w:rPr>
          <w:rFonts w:cstheme="minorHAnsi"/>
          <w:b/>
          <w:bCs/>
          <w:sz w:val="22"/>
          <w:szCs w:val="22"/>
        </w:rPr>
      </w:pPr>
    </w:p>
    <w:p w14:paraId="1B7DB96C" w14:textId="77777777" w:rsidR="000D4E54" w:rsidRPr="00E37CB2" w:rsidRDefault="000D4E54" w:rsidP="000D4E54">
      <w:pPr>
        <w:rPr>
          <w:rFonts w:cstheme="minorHAnsi"/>
          <w:b/>
          <w:bCs/>
          <w:color w:val="EE0000"/>
          <w:sz w:val="22"/>
          <w:szCs w:val="22"/>
        </w:rPr>
      </w:pPr>
      <w:r w:rsidRPr="00E37CB2">
        <w:rPr>
          <w:rFonts w:cstheme="minorHAnsi"/>
          <w:b/>
          <w:bCs/>
          <w:color w:val="EE0000"/>
          <w:sz w:val="22"/>
          <w:szCs w:val="22"/>
        </w:rPr>
        <w:t>Signature</w:t>
      </w:r>
    </w:p>
    <w:p w14:paraId="413F347C" w14:textId="77777777" w:rsidR="000D4E54" w:rsidRPr="00E37CB2" w:rsidRDefault="000D4E54" w:rsidP="000D4E54">
      <w:pPr>
        <w:rPr>
          <w:rFonts w:cstheme="minorHAnsi"/>
          <w:b/>
          <w:bCs/>
          <w:color w:val="EE0000"/>
          <w:sz w:val="22"/>
          <w:szCs w:val="22"/>
        </w:rPr>
      </w:pPr>
      <w:r w:rsidRPr="00E37CB2">
        <w:rPr>
          <w:rFonts w:cstheme="minorHAnsi"/>
          <w:b/>
          <w:bCs/>
          <w:color w:val="EE0000"/>
          <w:sz w:val="22"/>
          <w:szCs w:val="22"/>
        </w:rPr>
        <w:t>Name and Surname</w:t>
      </w:r>
    </w:p>
    <w:p w14:paraId="30CD4121" w14:textId="77777777" w:rsidR="000D4E54" w:rsidRPr="00E37CB2" w:rsidRDefault="000D4E54" w:rsidP="000D4E54">
      <w:pPr>
        <w:rPr>
          <w:rFonts w:cstheme="minorHAnsi"/>
          <w:b/>
          <w:bCs/>
          <w:color w:val="EE0000"/>
          <w:sz w:val="22"/>
          <w:szCs w:val="22"/>
        </w:rPr>
      </w:pPr>
      <w:r w:rsidRPr="00E37CB2">
        <w:rPr>
          <w:rFonts w:cstheme="minorHAnsi"/>
          <w:b/>
          <w:bCs/>
          <w:color w:val="EE0000"/>
          <w:sz w:val="22"/>
          <w:szCs w:val="22"/>
        </w:rPr>
        <w:t>Position / Title</w:t>
      </w:r>
    </w:p>
    <w:p w14:paraId="20DC904B" w14:textId="77777777" w:rsidR="00BF64E3" w:rsidRPr="00BF64E3" w:rsidRDefault="000D4E54" w:rsidP="000D4E54">
      <w:pPr>
        <w:rPr>
          <w:rFonts w:cstheme="minorHAnsi"/>
          <w:b/>
          <w:bCs/>
          <w:color w:val="EE0000"/>
          <w:sz w:val="22"/>
          <w:szCs w:val="22"/>
        </w:rPr>
      </w:pPr>
      <w:r w:rsidRPr="00BF64E3">
        <w:rPr>
          <w:rFonts w:cstheme="minorHAnsi"/>
          <w:b/>
          <w:bCs/>
          <w:color w:val="EE0000"/>
          <w:sz w:val="22"/>
          <w:szCs w:val="22"/>
        </w:rPr>
        <w:t xml:space="preserve">Company Name </w:t>
      </w:r>
    </w:p>
    <w:p w14:paraId="4D485EC9" w14:textId="43FC0066" w:rsidR="000D4E54" w:rsidRPr="00BF64E3" w:rsidRDefault="00BF64E3" w:rsidP="000D4E54">
      <w:pPr>
        <w:rPr>
          <w:rFonts w:cstheme="minorHAnsi"/>
          <w:b/>
          <w:bCs/>
          <w:sz w:val="22"/>
          <w:szCs w:val="22"/>
        </w:rPr>
      </w:pPr>
      <w:r w:rsidRPr="00BF64E3">
        <w:rPr>
          <w:rFonts w:cstheme="minorHAnsi"/>
          <w:b/>
          <w:bCs/>
          <w:color w:val="EE0000"/>
          <w:sz w:val="22"/>
          <w:szCs w:val="22"/>
        </w:rPr>
        <w:t>Contact</w:t>
      </w:r>
      <w:r w:rsidR="000D4E54" w:rsidRPr="00BF64E3">
        <w:rPr>
          <w:rFonts w:cstheme="minorHAnsi"/>
          <w:b/>
          <w:bCs/>
          <w:sz w:val="22"/>
          <w:szCs w:val="22"/>
        </w:rPr>
        <w:br/>
      </w:r>
    </w:p>
    <w:p w14:paraId="2428F18E" w14:textId="77777777" w:rsidR="000D4E54" w:rsidRDefault="000D4E54"/>
    <w:sectPr w:rsidR="000D4E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2693E"/>
    <w:multiLevelType w:val="multilevel"/>
    <w:tmpl w:val="8AF8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5C7F95"/>
    <w:multiLevelType w:val="multilevel"/>
    <w:tmpl w:val="B358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3399542">
    <w:abstractNumId w:val="1"/>
  </w:num>
  <w:num w:numId="2" w16cid:durableId="621964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54"/>
    <w:rsid w:val="000D4E54"/>
    <w:rsid w:val="00BF64E3"/>
    <w:rsid w:val="00C87E6C"/>
    <w:rsid w:val="00D6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EA1A1"/>
  <w15:chartTrackingRefBased/>
  <w15:docId w15:val="{86004FC4-B0D1-4D1D-BC1D-616F07FE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E54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E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E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E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E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E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E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E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E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E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E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E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E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E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E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E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E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E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4E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E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4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4E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4E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4E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E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4E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1043</Words>
  <Characters>6150</Characters>
  <Application>Microsoft Office Word</Application>
  <DocSecurity>4</DocSecurity>
  <Lines>143</Lines>
  <Paragraphs>43</Paragraphs>
  <ScaleCrop>false</ScaleCrop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Onne Vegter</dc:creator>
  <cp:keywords/>
  <dc:description/>
  <cp:lastModifiedBy>Paula Bester</cp:lastModifiedBy>
  <cp:revision>2</cp:revision>
  <dcterms:created xsi:type="dcterms:W3CDTF">2025-11-18T14:25:00Z</dcterms:created>
  <dcterms:modified xsi:type="dcterms:W3CDTF">2025-11-18T14:25:00Z</dcterms:modified>
</cp:coreProperties>
</file>